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94" w:rsidRPr="001E574C" w:rsidRDefault="00D87394" w:rsidP="001E574C">
      <w:pPr>
        <w:jc w:val="both"/>
        <w:rPr>
          <w:lang w:val="en-US"/>
        </w:rPr>
      </w:pPr>
      <w:proofErr w:type="spellStart"/>
      <w:r w:rsidRPr="001E574C">
        <w:rPr>
          <w:lang w:val="en-US"/>
        </w:rPr>
        <w:t>Tom</w:t>
      </w:r>
      <w:r w:rsidR="002573FB" w:rsidRPr="001E574C">
        <w:rPr>
          <w:lang w:val="en-US"/>
        </w:rPr>
        <w:t>a</w:t>
      </w:r>
      <w:r w:rsidRPr="001E574C">
        <w:rPr>
          <w:lang w:val="en-US"/>
        </w:rPr>
        <w:t>ssi</w:t>
      </w:r>
      <w:proofErr w:type="spellEnd"/>
      <w:r w:rsidRPr="001E574C">
        <w:rPr>
          <w:lang w:val="en-US"/>
        </w:rPr>
        <w:t xml:space="preserve"> Suzanna</w:t>
      </w:r>
    </w:p>
    <w:p w:rsidR="00D87394" w:rsidRPr="001E574C" w:rsidRDefault="00D87394" w:rsidP="001E574C">
      <w:pPr>
        <w:jc w:val="both"/>
        <w:rPr>
          <w:lang w:val="en-US"/>
        </w:rPr>
      </w:pPr>
    </w:p>
    <w:p w:rsidR="00D87394" w:rsidRPr="001E574C" w:rsidRDefault="00D87394" w:rsidP="001E574C">
      <w:pPr>
        <w:jc w:val="both"/>
        <w:rPr>
          <w:lang w:val="en-US"/>
        </w:rPr>
      </w:pPr>
      <w:r w:rsidRPr="001E574C">
        <w:rPr>
          <w:lang w:val="en-US"/>
        </w:rPr>
        <w:t>suzanna.tomassi@buckingham.ac.uk</w:t>
      </w:r>
    </w:p>
    <w:p w:rsidR="00D87394" w:rsidRPr="001E574C" w:rsidRDefault="00D87394" w:rsidP="001E574C">
      <w:pPr>
        <w:jc w:val="both"/>
        <w:rPr>
          <w:lang w:val="en-US"/>
        </w:rPr>
      </w:pPr>
    </w:p>
    <w:p w:rsidR="00D87394" w:rsidRPr="001E574C" w:rsidRDefault="00D87394" w:rsidP="001E574C">
      <w:pPr>
        <w:jc w:val="both"/>
        <w:rPr>
          <w:lang w:val="en-US"/>
        </w:rPr>
      </w:pPr>
      <w:r w:rsidRPr="001E574C">
        <w:rPr>
          <w:lang w:val="en-US"/>
        </w:rPr>
        <w:t>University of Buckingham Quality Assurance Office</w:t>
      </w:r>
    </w:p>
    <w:p w:rsidR="00D87394" w:rsidRPr="001E574C" w:rsidRDefault="00D87394" w:rsidP="001E574C">
      <w:pPr>
        <w:autoSpaceDE w:val="0"/>
        <w:autoSpaceDN w:val="0"/>
        <w:adjustRightInd w:val="0"/>
        <w:jc w:val="both"/>
        <w:rPr>
          <w:color w:val="231F20"/>
          <w:lang w:val="en-US"/>
        </w:rPr>
      </w:pPr>
    </w:p>
    <w:p w:rsidR="00D87394" w:rsidRPr="001E574C" w:rsidRDefault="00D87394" w:rsidP="001E574C">
      <w:pPr>
        <w:autoSpaceDE w:val="0"/>
        <w:autoSpaceDN w:val="0"/>
        <w:adjustRightInd w:val="0"/>
        <w:jc w:val="both"/>
        <w:rPr>
          <w:lang w:val="en-US"/>
        </w:rPr>
      </w:pPr>
      <w:proofErr w:type="spellStart"/>
      <w:proofErr w:type="gramStart"/>
      <w:r w:rsidRPr="001E574C">
        <w:rPr>
          <w:lang w:val="en-US"/>
        </w:rPr>
        <w:t>jęz</w:t>
      </w:r>
      <w:proofErr w:type="spellEnd"/>
      <w:proofErr w:type="gramEnd"/>
      <w:r w:rsidRPr="001E574C">
        <w:rPr>
          <w:lang w:val="en-US"/>
        </w:rPr>
        <w:t xml:space="preserve">. </w:t>
      </w:r>
      <w:proofErr w:type="spellStart"/>
      <w:proofErr w:type="gramStart"/>
      <w:r w:rsidRPr="001E574C">
        <w:rPr>
          <w:lang w:val="en-US"/>
        </w:rPr>
        <w:t>angielski</w:t>
      </w:r>
      <w:proofErr w:type="spellEnd"/>
      <w:proofErr w:type="gramEnd"/>
    </w:p>
    <w:p w:rsidR="00D87394" w:rsidRPr="001E574C" w:rsidRDefault="00D87394" w:rsidP="001E574C">
      <w:pPr>
        <w:autoSpaceDE w:val="0"/>
        <w:autoSpaceDN w:val="0"/>
        <w:adjustRightInd w:val="0"/>
        <w:jc w:val="both"/>
        <w:rPr>
          <w:lang w:val="en-US"/>
        </w:rPr>
      </w:pPr>
    </w:p>
    <w:p w:rsidR="00D87394" w:rsidRPr="001E574C" w:rsidRDefault="00D87394" w:rsidP="001E574C">
      <w:pPr>
        <w:jc w:val="both"/>
        <w:rPr>
          <w:lang w:val="en-US"/>
        </w:rPr>
      </w:pPr>
      <w:proofErr w:type="spellStart"/>
      <w:proofErr w:type="gramStart"/>
      <w:r w:rsidRPr="001E574C">
        <w:rPr>
          <w:lang w:val="en-US"/>
        </w:rPr>
        <w:t>strony</w:t>
      </w:r>
      <w:proofErr w:type="spellEnd"/>
      <w:proofErr w:type="gramEnd"/>
      <w:r w:rsidRPr="001E574C">
        <w:rPr>
          <w:lang w:val="en-US"/>
        </w:rPr>
        <w:t xml:space="preserve">: </w:t>
      </w:r>
      <w:r w:rsidR="0000744A" w:rsidRPr="001E574C">
        <w:rPr>
          <w:lang w:val="en-US"/>
        </w:rPr>
        <w:t>279-</w:t>
      </w:r>
      <w:r w:rsidR="002573FB" w:rsidRPr="001E574C">
        <w:rPr>
          <w:lang w:val="en-US"/>
        </w:rPr>
        <w:t>288</w:t>
      </w:r>
    </w:p>
    <w:p w:rsidR="00D87394" w:rsidRPr="001E574C" w:rsidRDefault="00D87394" w:rsidP="001E574C">
      <w:pPr>
        <w:jc w:val="both"/>
        <w:rPr>
          <w:lang w:val="en-US"/>
        </w:rPr>
      </w:pPr>
    </w:p>
    <w:p w:rsidR="00D87394" w:rsidRPr="001E574C" w:rsidRDefault="00D87394" w:rsidP="001E574C">
      <w:pPr>
        <w:jc w:val="both"/>
        <w:rPr>
          <w:lang w:val="en-US"/>
        </w:rPr>
      </w:pPr>
      <w:r w:rsidRPr="001E574C">
        <w:rPr>
          <w:bCs/>
          <w:lang w:val="en-US"/>
        </w:rPr>
        <w:t>What academic and other risks can be seen in a high level of dependence on</w:t>
      </w:r>
      <w:r w:rsidRPr="001E574C">
        <w:rPr>
          <w:lang w:val="en-US"/>
        </w:rPr>
        <w:t xml:space="preserve"> state funding?</w:t>
      </w:r>
    </w:p>
    <w:p w:rsidR="00D87394" w:rsidRPr="001E574C" w:rsidRDefault="00D87394" w:rsidP="001E574C">
      <w:pPr>
        <w:jc w:val="both"/>
        <w:rPr>
          <w:lang w:val="en-US"/>
        </w:rPr>
      </w:pPr>
    </w:p>
    <w:p w:rsidR="00D87394" w:rsidRPr="001E574C" w:rsidRDefault="00D87394" w:rsidP="001E574C">
      <w:pPr>
        <w:jc w:val="both"/>
      </w:pPr>
      <w:r w:rsidRPr="001E574C">
        <w:t>Analiza ryzyka związanego z wysokim uzależnieniem państwowego szkolnictwa wyższego od finansów publicznych na przykładzie Wielkiej Brytanii</w:t>
      </w:r>
    </w:p>
    <w:p w:rsidR="00D87394" w:rsidRPr="001E574C" w:rsidRDefault="00D87394" w:rsidP="001E574C">
      <w:pPr>
        <w:jc w:val="both"/>
      </w:pPr>
    </w:p>
    <w:p w:rsidR="00D87394" w:rsidRPr="001E574C" w:rsidRDefault="00D87394" w:rsidP="001E574C">
      <w:pPr>
        <w:jc w:val="both"/>
        <w:rPr>
          <w:lang w:val="en-US"/>
        </w:rPr>
      </w:pPr>
      <w:r w:rsidRPr="001E574C">
        <w:rPr>
          <w:lang w:val="en-US"/>
        </w:rPr>
        <w:t>It is widely accepted that individuals as well as society benefit from higher education, which is one of the most important elements in the UK Government policy. Higher education produces highly qualified people and as a result it increases the UK's economic development and international competitiveness. Unfortunately, it has not always been reflected in the UK policy on funding higher education. With the few exceptions the British higher education is mostly publicly funded and it has been heavily reliant on state funding for a long time. This paper examines the issue of the strong dependence on the state funds and potential risks it brings on higher education institutions. It is important to remember that the identified issues may vary from institution to institution and should be treated with caution</w:t>
      </w:r>
    </w:p>
    <w:p w:rsidR="00D87394" w:rsidRPr="001E574C" w:rsidRDefault="00D87394" w:rsidP="001E574C">
      <w:pPr>
        <w:jc w:val="both"/>
        <w:rPr>
          <w:lang w:val="en-US"/>
        </w:rPr>
      </w:pPr>
    </w:p>
    <w:p w:rsidR="00D87394" w:rsidRPr="001E574C" w:rsidRDefault="00D87394" w:rsidP="001E574C">
      <w:pPr>
        <w:jc w:val="both"/>
      </w:pPr>
      <w:r w:rsidRPr="001E574C">
        <w:t>Szkolnictwo wyższe przynosi korzyści nie tylko osobom indywidualnym, ale i szeroko pojętemu społeczeństwu. Uczelnie wypuszczają wysoko wykwalifikowanych absolwentów, którzy zasilają rynek pracy, wspomagając tym rozwój ekonomiczny i rentowność kraju. Pomimo, że to przekonanie stanowi jeden z ważniejszych elementów polityki rządu Wielkiej Brytanii, nie do końca jest to odzwierciedlone w brytyjskim systemie finansowania szkolnictwa wyższego. Ten artykuł ma na celu analizę wysokiego uzależnienia brytyjskich uczelni od funduszy publicznych i potencjalnego ryzyka z tym związanego.</w:t>
      </w:r>
    </w:p>
    <w:p w:rsidR="00D87394" w:rsidRPr="001E574C" w:rsidRDefault="00D87394" w:rsidP="001E574C">
      <w:pPr>
        <w:jc w:val="both"/>
      </w:pPr>
    </w:p>
    <w:p w:rsidR="00D87394" w:rsidRPr="001E574C" w:rsidRDefault="00D87394" w:rsidP="001E574C">
      <w:pPr>
        <w:jc w:val="both"/>
        <w:rPr>
          <w:lang w:val="en-US"/>
        </w:rPr>
      </w:pPr>
      <w:proofErr w:type="gramStart"/>
      <w:r w:rsidRPr="001E574C">
        <w:rPr>
          <w:lang w:val="en-US"/>
        </w:rPr>
        <w:t>higher</w:t>
      </w:r>
      <w:proofErr w:type="gramEnd"/>
      <w:r w:rsidRPr="001E574C">
        <w:rPr>
          <w:lang w:val="en-US"/>
        </w:rPr>
        <w:t xml:space="preserve"> education</w:t>
      </w:r>
    </w:p>
    <w:p w:rsidR="00D87394" w:rsidRPr="001E574C" w:rsidRDefault="00D87394" w:rsidP="001E574C">
      <w:pPr>
        <w:jc w:val="both"/>
        <w:rPr>
          <w:lang w:val="en-US"/>
        </w:rPr>
      </w:pPr>
      <w:proofErr w:type="gramStart"/>
      <w:r w:rsidRPr="001E574C">
        <w:rPr>
          <w:lang w:val="en-US"/>
        </w:rPr>
        <w:t>finance</w:t>
      </w:r>
      <w:proofErr w:type="gramEnd"/>
    </w:p>
    <w:p w:rsidR="00D87394" w:rsidRPr="001E574C" w:rsidRDefault="00D87394" w:rsidP="001E574C">
      <w:pPr>
        <w:jc w:val="both"/>
        <w:rPr>
          <w:lang w:val="en-US"/>
        </w:rPr>
      </w:pPr>
      <w:proofErr w:type="gramStart"/>
      <w:r w:rsidRPr="001E574C">
        <w:rPr>
          <w:lang w:val="en-US"/>
        </w:rPr>
        <w:t>government</w:t>
      </w:r>
      <w:proofErr w:type="gramEnd"/>
    </w:p>
    <w:p w:rsidR="00D87394" w:rsidRPr="001E574C" w:rsidRDefault="00D87394" w:rsidP="001E574C">
      <w:pPr>
        <w:jc w:val="both"/>
        <w:rPr>
          <w:lang w:val="en-US"/>
        </w:rPr>
      </w:pPr>
      <w:r w:rsidRPr="001E574C">
        <w:rPr>
          <w:lang w:val="en-US"/>
        </w:rPr>
        <w:t>Great Britain</w:t>
      </w:r>
    </w:p>
    <w:p w:rsidR="00D87394" w:rsidRPr="001E574C" w:rsidRDefault="00D87394" w:rsidP="001E574C">
      <w:pPr>
        <w:jc w:val="both"/>
        <w:rPr>
          <w:lang w:val="en-US"/>
        </w:rPr>
      </w:pPr>
    </w:p>
    <w:p w:rsidR="00D87394" w:rsidRPr="001E574C" w:rsidRDefault="00D87394" w:rsidP="001E574C">
      <w:pPr>
        <w:jc w:val="both"/>
      </w:pPr>
      <w:proofErr w:type="gramStart"/>
      <w:r w:rsidRPr="001E574C">
        <w:t>szkolnictwo</w:t>
      </w:r>
      <w:proofErr w:type="gramEnd"/>
      <w:r w:rsidRPr="001E574C">
        <w:t xml:space="preserve"> wyższe</w:t>
      </w:r>
    </w:p>
    <w:p w:rsidR="00D87394" w:rsidRPr="001E574C" w:rsidRDefault="00D87394" w:rsidP="001E574C">
      <w:pPr>
        <w:jc w:val="both"/>
      </w:pPr>
      <w:proofErr w:type="gramStart"/>
      <w:r w:rsidRPr="001E574C">
        <w:t>finanse</w:t>
      </w:r>
      <w:proofErr w:type="gramEnd"/>
    </w:p>
    <w:p w:rsidR="00D87394" w:rsidRPr="001E574C" w:rsidRDefault="00D87394" w:rsidP="001E574C">
      <w:pPr>
        <w:jc w:val="both"/>
      </w:pPr>
      <w:proofErr w:type="gramStart"/>
      <w:r w:rsidRPr="001E574C">
        <w:t>państwo</w:t>
      </w:r>
      <w:proofErr w:type="gramEnd"/>
    </w:p>
    <w:p w:rsidR="00D87394" w:rsidRPr="001E574C" w:rsidRDefault="00D87394" w:rsidP="001E574C">
      <w:pPr>
        <w:jc w:val="both"/>
      </w:pPr>
      <w:r w:rsidRPr="001E574C">
        <w:t>Wielka Brytania</w:t>
      </w:r>
    </w:p>
    <w:p w:rsidR="00D87394" w:rsidRPr="001E574C" w:rsidRDefault="00D87394" w:rsidP="001E574C">
      <w:pPr>
        <w:jc w:val="both"/>
      </w:pPr>
    </w:p>
    <w:p w:rsidR="00D87394" w:rsidRPr="001E574C" w:rsidRDefault="00D87394" w:rsidP="001E574C">
      <w:pPr>
        <w:jc w:val="both"/>
      </w:pPr>
    </w:p>
    <w:p w:rsidR="00D87394" w:rsidRPr="001E574C" w:rsidRDefault="00D87394" w:rsidP="001E574C">
      <w:pPr>
        <w:autoSpaceDE w:val="0"/>
        <w:autoSpaceDN w:val="0"/>
        <w:adjustRightInd w:val="0"/>
        <w:jc w:val="both"/>
        <w:rPr>
          <w:color w:val="231F20"/>
          <w:lang w:val="en-US"/>
        </w:rPr>
      </w:pPr>
      <w:proofErr w:type="spellStart"/>
      <w:proofErr w:type="gramStart"/>
      <w:r w:rsidRPr="001E574C">
        <w:rPr>
          <w:color w:val="231F20"/>
          <w:lang w:val="en-US"/>
        </w:rPr>
        <w:t>wydruk</w:t>
      </w:r>
      <w:proofErr w:type="spellEnd"/>
      <w:proofErr w:type="gramEnd"/>
      <w:r w:rsidRPr="001E574C">
        <w:rPr>
          <w:color w:val="231F20"/>
          <w:lang w:val="en-US"/>
        </w:rPr>
        <w:t xml:space="preserve"> 2009-09</w:t>
      </w:r>
    </w:p>
    <w:p w:rsidR="00D87394" w:rsidRPr="001E574C" w:rsidRDefault="00D87394" w:rsidP="001E574C">
      <w:pPr>
        <w:autoSpaceDE w:val="0"/>
        <w:autoSpaceDN w:val="0"/>
        <w:adjustRightInd w:val="0"/>
        <w:jc w:val="both"/>
        <w:rPr>
          <w:color w:val="231F20"/>
          <w:lang w:val="en-US"/>
        </w:rPr>
      </w:pPr>
    </w:p>
    <w:p w:rsidR="00D87394" w:rsidRPr="001E574C" w:rsidRDefault="002573FB" w:rsidP="001E574C">
      <w:pPr>
        <w:spacing w:after="120"/>
        <w:jc w:val="both"/>
        <w:rPr>
          <w:lang w:val="en-US"/>
        </w:rPr>
      </w:pPr>
      <w:r w:rsidRPr="001E574C">
        <w:rPr>
          <w:lang w:val="en-US"/>
        </w:rPr>
        <w:t>As</w:t>
      </w:r>
      <w:r w:rsidR="00D87394" w:rsidRPr="001E574C">
        <w:rPr>
          <w:lang w:val="en-US"/>
        </w:rPr>
        <w:t xml:space="preserve">hley D. 2006. </w:t>
      </w:r>
      <w:r w:rsidR="00D87394" w:rsidRPr="001E574C">
        <w:rPr>
          <w:i/>
          <w:lang w:val="en-US"/>
        </w:rPr>
        <w:t>Bureaucracy is Killing Higher Education Warns Poll</w:t>
      </w:r>
      <w:r w:rsidR="00D87394" w:rsidRPr="001E574C">
        <w:rPr>
          <w:lang w:val="en-US"/>
        </w:rPr>
        <w:t>, [online]. 2 November 2006. [</w:t>
      </w:r>
      <w:proofErr w:type="gramStart"/>
      <w:r w:rsidR="00D87394" w:rsidRPr="001E574C">
        <w:rPr>
          <w:lang w:val="en-US"/>
        </w:rPr>
        <w:t>accessed</w:t>
      </w:r>
      <w:proofErr w:type="gramEnd"/>
      <w:r w:rsidR="00D87394" w:rsidRPr="001E574C">
        <w:rPr>
          <w:lang w:val="en-US"/>
        </w:rPr>
        <w:t xml:space="preserve"> on: 2009-06-20]. </w:t>
      </w:r>
      <w:proofErr w:type="gramStart"/>
      <w:r w:rsidR="00D87394" w:rsidRPr="001E574C">
        <w:rPr>
          <w:lang w:val="en-US"/>
        </w:rPr>
        <w:t>University and College Union (UCU).</w:t>
      </w:r>
      <w:proofErr w:type="gramEnd"/>
      <w:r w:rsidR="00D87394" w:rsidRPr="001E574C">
        <w:rPr>
          <w:lang w:val="en-US"/>
        </w:rPr>
        <w:t xml:space="preserve"> Available from Internet: http://www.ucu.org.uk/index.cfm?articleid=2139. </w:t>
      </w:r>
    </w:p>
    <w:p w:rsidR="00D87394" w:rsidRPr="001E574C" w:rsidRDefault="00D87394" w:rsidP="001E574C">
      <w:pPr>
        <w:spacing w:after="120"/>
        <w:jc w:val="both"/>
        <w:rPr>
          <w:lang w:val="en-US"/>
        </w:rPr>
      </w:pPr>
      <w:r w:rsidRPr="001E574C">
        <w:rPr>
          <w:lang w:val="en-US"/>
        </w:rPr>
        <w:lastRenderedPageBreak/>
        <w:t xml:space="preserve">Barr N. 2004. </w:t>
      </w:r>
      <w:proofErr w:type="gramStart"/>
      <w:r w:rsidRPr="001E574C">
        <w:rPr>
          <w:i/>
          <w:lang w:val="en-US"/>
        </w:rPr>
        <w:t>Higher Education Funding</w:t>
      </w:r>
      <w:r w:rsidRPr="001E574C">
        <w:rPr>
          <w:lang w:val="en-US"/>
        </w:rPr>
        <w:t>.</w:t>
      </w:r>
      <w:proofErr w:type="gramEnd"/>
      <w:r w:rsidRPr="001E574C">
        <w:rPr>
          <w:lang w:val="en-US"/>
        </w:rPr>
        <w:t xml:space="preserve"> </w:t>
      </w:r>
      <w:r w:rsidR="001E574C">
        <w:rPr>
          <w:lang w:val="en-US"/>
        </w:rPr>
        <w:t>„</w:t>
      </w:r>
      <w:r w:rsidRPr="001E574C">
        <w:rPr>
          <w:lang w:val="en-US"/>
        </w:rPr>
        <w:t>Oxford Review of Economic Policy</w:t>
      </w:r>
      <w:r w:rsidR="001E574C">
        <w:rPr>
          <w:lang w:val="en-US"/>
        </w:rPr>
        <w:t>”</w:t>
      </w:r>
      <w:r w:rsidRPr="001E574C">
        <w:rPr>
          <w:lang w:val="en-US"/>
        </w:rPr>
        <w:t xml:space="preserve"> 20(2), p. 264-283. </w:t>
      </w:r>
    </w:p>
    <w:p w:rsidR="00D87394" w:rsidRPr="001E574C" w:rsidRDefault="00D87394" w:rsidP="001E574C">
      <w:pPr>
        <w:spacing w:after="120"/>
        <w:jc w:val="both"/>
        <w:rPr>
          <w:lang w:val="en-US"/>
        </w:rPr>
      </w:pPr>
      <w:r w:rsidRPr="001E574C">
        <w:rPr>
          <w:lang w:val="en-US"/>
        </w:rPr>
        <w:t xml:space="preserve">Barr N. 2001 </w:t>
      </w:r>
      <w:r w:rsidRPr="001E574C">
        <w:rPr>
          <w:i/>
          <w:lang w:val="en-US"/>
        </w:rPr>
        <w:t xml:space="preserve">Funding higher education: policies for access and quality. </w:t>
      </w:r>
      <w:proofErr w:type="gramStart"/>
      <w:r w:rsidRPr="001E574C">
        <w:rPr>
          <w:i/>
          <w:lang w:val="en-US"/>
        </w:rPr>
        <w:t>House of Commons Education and Skills Committee</w:t>
      </w:r>
      <w:r w:rsidRPr="001E574C">
        <w:rPr>
          <w:lang w:val="en-US"/>
        </w:rPr>
        <w:t>, Post-16 student support, Session 2001-02, Department of Economics, London School of Economics and Political Science.</w:t>
      </w:r>
      <w:proofErr w:type="gramEnd"/>
      <w:r w:rsidRPr="001E574C">
        <w:rPr>
          <w:lang w:val="en-US"/>
        </w:rPr>
        <w:t xml:space="preserve"> </w:t>
      </w:r>
    </w:p>
    <w:p w:rsidR="00D87394" w:rsidRPr="001E574C" w:rsidRDefault="00D87394" w:rsidP="001E574C">
      <w:pPr>
        <w:spacing w:after="120"/>
        <w:jc w:val="both"/>
        <w:rPr>
          <w:lang w:val="en-US"/>
        </w:rPr>
      </w:pPr>
      <w:r w:rsidRPr="001E574C">
        <w:rPr>
          <w:lang w:val="en-US"/>
        </w:rPr>
        <w:t xml:space="preserve">Chiang L-C. 2004. </w:t>
      </w:r>
      <w:r w:rsidRPr="001E574C">
        <w:rPr>
          <w:i/>
          <w:lang w:val="en-US"/>
        </w:rPr>
        <w:t xml:space="preserve">The Relationship </w:t>
      </w:r>
      <w:proofErr w:type="gramStart"/>
      <w:r w:rsidRPr="001E574C">
        <w:rPr>
          <w:i/>
          <w:lang w:val="en-US"/>
        </w:rPr>
        <w:t>Between</w:t>
      </w:r>
      <w:proofErr w:type="gramEnd"/>
      <w:r w:rsidRPr="001E574C">
        <w:rPr>
          <w:i/>
          <w:lang w:val="en-US"/>
        </w:rPr>
        <w:t xml:space="preserve"> University Autonomy and Funding in England and Taiwan.</w:t>
      </w:r>
      <w:r w:rsidRPr="001E574C">
        <w:rPr>
          <w:lang w:val="en-US"/>
        </w:rPr>
        <w:t xml:space="preserve"> </w:t>
      </w:r>
      <w:r w:rsidR="001E574C">
        <w:rPr>
          <w:lang w:val="en-US"/>
        </w:rPr>
        <w:t>„</w:t>
      </w:r>
      <w:r w:rsidRPr="001E574C">
        <w:rPr>
          <w:lang w:val="en-US"/>
        </w:rPr>
        <w:t>Higher Education</w:t>
      </w:r>
      <w:r w:rsidR="001E574C">
        <w:rPr>
          <w:lang w:val="en-US"/>
        </w:rPr>
        <w:t>”</w:t>
      </w:r>
      <w:r w:rsidRPr="001E574C">
        <w:rPr>
          <w:lang w:val="en-US"/>
        </w:rPr>
        <w:t xml:space="preserve"> vol. 48, no 2, p. 189-212. </w:t>
      </w:r>
    </w:p>
    <w:p w:rsidR="00D87394" w:rsidRPr="001E574C" w:rsidRDefault="00D87394" w:rsidP="001E574C">
      <w:pPr>
        <w:spacing w:after="120"/>
        <w:jc w:val="both"/>
        <w:rPr>
          <w:lang w:val="en-US"/>
        </w:rPr>
      </w:pPr>
      <w:r w:rsidRPr="001E574C">
        <w:rPr>
          <w:lang w:val="en-US"/>
        </w:rPr>
        <w:t xml:space="preserve">Curtis P. 2008. </w:t>
      </w:r>
      <w:r w:rsidRPr="001E574C">
        <w:rPr>
          <w:i/>
          <w:lang w:val="en-US"/>
        </w:rPr>
        <w:t>University Dropout Steady at 22%</w:t>
      </w:r>
      <w:r w:rsidRPr="001E574C">
        <w:rPr>
          <w:lang w:val="en-US"/>
        </w:rPr>
        <w:t xml:space="preserve">. </w:t>
      </w:r>
      <w:proofErr w:type="gramStart"/>
      <w:r w:rsidR="001E574C">
        <w:rPr>
          <w:lang w:val="en-US"/>
        </w:rPr>
        <w:t>„</w:t>
      </w:r>
      <w:r w:rsidRPr="001E574C">
        <w:rPr>
          <w:lang w:val="en-US"/>
        </w:rPr>
        <w:t>The Guardian</w:t>
      </w:r>
      <w:r w:rsidR="001E574C">
        <w:rPr>
          <w:lang w:val="en-US"/>
        </w:rPr>
        <w:t>”</w:t>
      </w:r>
      <w:r w:rsidRPr="001E574C">
        <w:rPr>
          <w:lang w:val="en-US"/>
        </w:rPr>
        <w:t xml:space="preserve"> [online].</w:t>
      </w:r>
      <w:proofErr w:type="gramEnd"/>
      <w:r w:rsidRPr="001E574C">
        <w:rPr>
          <w:lang w:val="en-US"/>
        </w:rPr>
        <w:t xml:space="preserve"> 20 February 2008. [</w:t>
      </w:r>
      <w:proofErr w:type="gramStart"/>
      <w:r w:rsidRPr="001E574C">
        <w:rPr>
          <w:lang w:val="en-US"/>
        </w:rPr>
        <w:t>accessed</w:t>
      </w:r>
      <w:proofErr w:type="gramEnd"/>
      <w:r w:rsidRPr="001E574C">
        <w:rPr>
          <w:lang w:val="en-US"/>
        </w:rPr>
        <w:t xml:space="preserve"> on: 2008-02-20]. Available from Internet: http://education.guardian.co.uk/hi-gher/news/story/0,,2258135,OO.html </w:t>
      </w:r>
    </w:p>
    <w:p w:rsidR="00D87394" w:rsidRPr="001E574C" w:rsidRDefault="00D87394" w:rsidP="001E574C">
      <w:pPr>
        <w:spacing w:after="120"/>
        <w:jc w:val="both"/>
        <w:rPr>
          <w:lang w:val="en-US"/>
        </w:rPr>
      </w:pPr>
      <w:proofErr w:type="gramStart"/>
      <w:r w:rsidRPr="001E574C">
        <w:rPr>
          <w:lang w:val="en-US"/>
        </w:rPr>
        <w:t>EMS.</w:t>
      </w:r>
      <w:proofErr w:type="gramEnd"/>
      <w:r w:rsidRPr="001E574C">
        <w:rPr>
          <w:lang w:val="en-US"/>
        </w:rPr>
        <w:t xml:space="preserve"> 2007. </w:t>
      </w:r>
      <w:r w:rsidRPr="001E574C">
        <w:rPr>
          <w:i/>
          <w:lang w:val="en-US"/>
        </w:rPr>
        <w:t>Performance in Higher Education Estates</w:t>
      </w:r>
      <w:r w:rsidRPr="001E574C">
        <w:rPr>
          <w:lang w:val="en-US"/>
        </w:rPr>
        <w:t xml:space="preserve">. </w:t>
      </w:r>
      <w:proofErr w:type="gramStart"/>
      <w:r w:rsidRPr="001E574C">
        <w:rPr>
          <w:lang w:val="en-US"/>
        </w:rPr>
        <w:t>EMS [Estate Management Statistics] Annual Report 2006 (April).</w:t>
      </w:r>
      <w:proofErr w:type="gramEnd"/>
      <w:r w:rsidRPr="001E574C">
        <w:rPr>
          <w:lang w:val="en-US"/>
        </w:rPr>
        <w:t xml:space="preserve"> </w:t>
      </w:r>
    </w:p>
    <w:p w:rsidR="00D87394" w:rsidRPr="001E574C" w:rsidRDefault="00D87394" w:rsidP="001E574C">
      <w:pPr>
        <w:spacing w:after="120"/>
        <w:jc w:val="both"/>
        <w:rPr>
          <w:lang w:val="en-US"/>
        </w:rPr>
      </w:pPr>
      <w:proofErr w:type="spellStart"/>
      <w:proofErr w:type="gramStart"/>
      <w:r w:rsidRPr="001E574C">
        <w:rPr>
          <w:lang w:val="en-US"/>
        </w:rPr>
        <w:t>Gombrich</w:t>
      </w:r>
      <w:proofErr w:type="spellEnd"/>
      <w:r w:rsidRPr="001E574C">
        <w:rPr>
          <w:lang w:val="en-US"/>
        </w:rPr>
        <w:t xml:space="preserve"> R.F. 2000.</w:t>
      </w:r>
      <w:proofErr w:type="gramEnd"/>
      <w:r w:rsidRPr="001E574C">
        <w:rPr>
          <w:lang w:val="en-US"/>
        </w:rPr>
        <w:t xml:space="preserve"> </w:t>
      </w:r>
      <w:r w:rsidRPr="001E574C">
        <w:rPr>
          <w:i/>
          <w:lang w:val="en-US"/>
        </w:rPr>
        <w:t>British Higher Education Policy in the last Twenty Years</w:t>
      </w:r>
      <w:r w:rsidRPr="001E574C">
        <w:rPr>
          <w:lang w:val="en-US"/>
        </w:rPr>
        <w:t xml:space="preserve">: The </w:t>
      </w:r>
      <w:r w:rsidRPr="001E574C">
        <w:rPr>
          <w:i/>
          <w:lang w:val="en-US"/>
        </w:rPr>
        <w:t>Murder of a Profession</w:t>
      </w:r>
      <w:r w:rsidRPr="001E574C">
        <w:rPr>
          <w:lang w:val="en-US"/>
        </w:rPr>
        <w:t>, [online] Tokyo, January 2000. [</w:t>
      </w:r>
      <w:proofErr w:type="gramStart"/>
      <w:r w:rsidRPr="001E574C">
        <w:rPr>
          <w:lang w:val="en-US"/>
        </w:rPr>
        <w:t>accessed</w:t>
      </w:r>
      <w:proofErr w:type="gramEnd"/>
      <w:r w:rsidRPr="001E574C">
        <w:rPr>
          <w:lang w:val="en-US"/>
        </w:rPr>
        <w:t xml:space="preserve"> on: 2009-06-22]. Available from Internet: http://www.atm.damtp.cam.ac.uk/people/mem/papers/LHCE/uk-higher-education.html. </w:t>
      </w:r>
    </w:p>
    <w:p w:rsidR="00D87394" w:rsidRPr="001E574C" w:rsidRDefault="00D87394" w:rsidP="001E574C">
      <w:pPr>
        <w:spacing w:after="120"/>
        <w:jc w:val="both"/>
        <w:rPr>
          <w:lang w:val="en-US"/>
        </w:rPr>
      </w:pPr>
      <w:proofErr w:type="gramStart"/>
      <w:r w:rsidRPr="001E574C">
        <w:rPr>
          <w:lang w:val="en-US"/>
        </w:rPr>
        <w:t>Greenaway D., Haynes M. 2003.</w:t>
      </w:r>
      <w:proofErr w:type="gramEnd"/>
      <w:r w:rsidRPr="001E574C">
        <w:rPr>
          <w:lang w:val="en-US"/>
        </w:rPr>
        <w:t xml:space="preserve"> </w:t>
      </w:r>
      <w:proofErr w:type="gramStart"/>
      <w:r w:rsidRPr="001E574C">
        <w:rPr>
          <w:i/>
          <w:lang w:val="en-US"/>
        </w:rPr>
        <w:t>Funding Higher Education in the UK: The Role of Fees and Loans</w:t>
      </w:r>
      <w:r w:rsidRPr="001E574C">
        <w:rPr>
          <w:lang w:val="en-US"/>
        </w:rPr>
        <w:t>.</w:t>
      </w:r>
      <w:proofErr w:type="gramEnd"/>
      <w:r w:rsidRPr="001E574C">
        <w:rPr>
          <w:lang w:val="en-US"/>
        </w:rPr>
        <w:t xml:space="preserve"> </w:t>
      </w:r>
      <w:proofErr w:type="gramStart"/>
      <w:r w:rsidR="001E574C">
        <w:rPr>
          <w:lang w:val="en-US"/>
        </w:rPr>
        <w:t>„</w:t>
      </w:r>
      <w:r w:rsidRPr="001E574C">
        <w:rPr>
          <w:lang w:val="en-US"/>
        </w:rPr>
        <w:t>The Economic Journal</w:t>
      </w:r>
      <w:r w:rsidR="001E574C">
        <w:rPr>
          <w:lang w:val="en-US"/>
        </w:rPr>
        <w:t>”</w:t>
      </w:r>
      <w:r w:rsidRPr="001E574C">
        <w:rPr>
          <w:lang w:val="en-US"/>
        </w:rPr>
        <w:t xml:space="preserve"> vol. 113, p. F150-F166.</w:t>
      </w:r>
      <w:proofErr w:type="gramEnd"/>
      <w:r w:rsidRPr="001E574C">
        <w:rPr>
          <w:lang w:val="en-US"/>
        </w:rPr>
        <w:t xml:space="preserve"> </w:t>
      </w:r>
    </w:p>
    <w:p w:rsidR="00D87394" w:rsidRPr="001E574C" w:rsidRDefault="00D87394" w:rsidP="001E574C">
      <w:pPr>
        <w:spacing w:after="120"/>
        <w:jc w:val="both"/>
        <w:rPr>
          <w:lang w:val="en-US"/>
        </w:rPr>
      </w:pPr>
      <w:proofErr w:type="gramStart"/>
      <w:r w:rsidRPr="001E574C">
        <w:rPr>
          <w:lang w:val="en-US"/>
        </w:rPr>
        <w:t>HEFCE.</w:t>
      </w:r>
      <w:proofErr w:type="gramEnd"/>
      <w:r w:rsidRPr="001E574C">
        <w:rPr>
          <w:lang w:val="en-US"/>
        </w:rPr>
        <w:t xml:space="preserve"> 2007. </w:t>
      </w:r>
      <w:r w:rsidRPr="001E574C">
        <w:rPr>
          <w:i/>
          <w:lang w:val="en-US"/>
        </w:rPr>
        <w:t>Funding Higher Education in England. How HEFCE Allocates its Funds</w:t>
      </w:r>
      <w:r w:rsidRPr="001E574C">
        <w:rPr>
          <w:lang w:val="en-US"/>
        </w:rPr>
        <w:t xml:space="preserve">, July 2007/20. </w:t>
      </w:r>
    </w:p>
    <w:p w:rsidR="00D87394" w:rsidRPr="001E574C" w:rsidRDefault="00D87394" w:rsidP="001E574C">
      <w:pPr>
        <w:spacing w:after="120"/>
        <w:jc w:val="both"/>
        <w:rPr>
          <w:lang w:val="en-US"/>
        </w:rPr>
      </w:pPr>
      <w:proofErr w:type="gramStart"/>
      <w:r w:rsidRPr="001E574C">
        <w:rPr>
          <w:lang w:val="en-US"/>
        </w:rPr>
        <w:t>HEFCE.</w:t>
      </w:r>
      <w:proofErr w:type="gramEnd"/>
      <w:r w:rsidRPr="001E574C">
        <w:rPr>
          <w:lang w:val="en-US"/>
        </w:rPr>
        <w:t xml:space="preserve"> 2006</w:t>
      </w:r>
      <w:r w:rsidRPr="001E574C">
        <w:rPr>
          <w:i/>
          <w:lang w:val="en-US"/>
        </w:rPr>
        <w:t xml:space="preserve">. Model Financial Memorandum </w:t>
      </w:r>
      <w:proofErr w:type="gramStart"/>
      <w:r w:rsidRPr="001E574C">
        <w:rPr>
          <w:i/>
          <w:lang w:val="en-US"/>
        </w:rPr>
        <w:t>Between</w:t>
      </w:r>
      <w:proofErr w:type="gramEnd"/>
      <w:r w:rsidRPr="001E574C">
        <w:rPr>
          <w:i/>
          <w:lang w:val="en-US"/>
        </w:rPr>
        <w:t xml:space="preserve"> HEFCE and Institu</w:t>
      </w:r>
      <w:r w:rsidRPr="001E574C">
        <w:rPr>
          <w:lang w:val="en-US"/>
        </w:rPr>
        <w:t xml:space="preserve">tions, July 2006/24. </w:t>
      </w:r>
    </w:p>
    <w:p w:rsidR="00D87394" w:rsidRPr="001E574C" w:rsidRDefault="00D87394" w:rsidP="001E574C">
      <w:pPr>
        <w:spacing w:after="120"/>
        <w:jc w:val="both"/>
        <w:rPr>
          <w:lang w:val="en-US"/>
        </w:rPr>
      </w:pPr>
      <w:proofErr w:type="gramStart"/>
      <w:r w:rsidRPr="001E574C">
        <w:rPr>
          <w:lang w:val="en-US"/>
        </w:rPr>
        <w:t>LISU.</w:t>
      </w:r>
      <w:proofErr w:type="gramEnd"/>
      <w:r w:rsidRPr="001E574C">
        <w:rPr>
          <w:lang w:val="en-US"/>
        </w:rPr>
        <w:t xml:space="preserve"> 2006. </w:t>
      </w:r>
      <w:r w:rsidRPr="001E574C">
        <w:rPr>
          <w:i/>
          <w:lang w:val="en-US"/>
        </w:rPr>
        <w:t>Annual Library Statistics</w:t>
      </w:r>
      <w:r w:rsidRPr="001E574C">
        <w:rPr>
          <w:lang w:val="en-US"/>
        </w:rPr>
        <w:t xml:space="preserve">, [online; accessed on: 2009-06-21]. Available from Internet: http://www.lboro.ac.uk/departments/ls/lisu/pages/pr/als06pr.html. </w:t>
      </w:r>
    </w:p>
    <w:p w:rsidR="00D87394" w:rsidRPr="001E574C" w:rsidRDefault="00D87394" w:rsidP="001E574C">
      <w:pPr>
        <w:spacing w:after="120"/>
        <w:jc w:val="both"/>
        <w:rPr>
          <w:lang w:val="en-US"/>
        </w:rPr>
      </w:pPr>
      <w:r w:rsidRPr="001E574C">
        <w:rPr>
          <w:lang w:val="en-US"/>
        </w:rPr>
        <w:t xml:space="preserve">OECD IMHE-HEFCE. 2007. </w:t>
      </w:r>
      <w:proofErr w:type="gramStart"/>
      <w:r w:rsidRPr="001E574C">
        <w:rPr>
          <w:i/>
          <w:lang w:val="en-US"/>
        </w:rPr>
        <w:t>On</w:t>
      </w:r>
      <w:proofErr w:type="gramEnd"/>
      <w:r w:rsidRPr="001E574C">
        <w:rPr>
          <w:i/>
          <w:lang w:val="en-US"/>
        </w:rPr>
        <w:t xml:space="preserve"> the Edge: Securing Sustainable Future for Higher Education</w:t>
      </w:r>
      <w:r w:rsidRPr="001E574C">
        <w:rPr>
          <w:lang w:val="en-US"/>
        </w:rPr>
        <w:t xml:space="preserve">. </w:t>
      </w:r>
      <w:proofErr w:type="gramStart"/>
      <w:r w:rsidRPr="001E574C">
        <w:rPr>
          <w:lang w:val="en-US"/>
        </w:rPr>
        <w:t>Project on Financial Management and Governance of Higher Education Institutions.</w:t>
      </w:r>
      <w:proofErr w:type="gramEnd"/>
      <w:r w:rsidRPr="001E574C">
        <w:rPr>
          <w:lang w:val="en-US"/>
        </w:rPr>
        <w:t xml:space="preserve"> </w:t>
      </w:r>
      <w:proofErr w:type="gramStart"/>
      <w:r w:rsidRPr="001E574C">
        <w:rPr>
          <w:lang w:val="en-US"/>
        </w:rPr>
        <w:t>(March 26lh).</w:t>
      </w:r>
      <w:proofErr w:type="gramEnd"/>
      <w:r w:rsidRPr="001E574C">
        <w:rPr>
          <w:lang w:val="en-US"/>
        </w:rPr>
        <w:t xml:space="preserve"> </w:t>
      </w:r>
    </w:p>
    <w:p w:rsidR="00D87394" w:rsidRPr="001E574C" w:rsidRDefault="00D87394" w:rsidP="001E574C">
      <w:pPr>
        <w:spacing w:after="120"/>
        <w:jc w:val="both"/>
        <w:rPr>
          <w:lang w:val="en-US"/>
        </w:rPr>
      </w:pPr>
      <w:r w:rsidRPr="001E574C">
        <w:rPr>
          <w:lang w:val="en-US"/>
        </w:rPr>
        <w:t xml:space="preserve">OECD IMHE-HEFCE. 2004. </w:t>
      </w:r>
      <w:r w:rsidRPr="001E574C">
        <w:rPr>
          <w:i/>
          <w:lang w:val="en-US"/>
        </w:rPr>
        <w:t>International Comparative Higher Education</w:t>
      </w:r>
      <w:r w:rsidR="002573FB" w:rsidRPr="001E574C">
        <w:rPr>
          <w:lang w:val="en-US"/>
        </w:rPr>
        <w:t xml:space="preserve"> </w:t>
      </w:r>
      <w:r w:rsidRPr="001E574C">
        <w:rPr>
          <w:i/>
          <w:lang w:val="en-US"/>
        </w:rPr>
        <w:t>Financial Management and Governance</w:t>
      </w:r>
      <w:r w:rsidR="002573FB" w:rsidRPr="001E574C">
        <w:rPr>
          <w:i/>
          <w:lang w:val="en-US"/>
        </w:rPr>
        <w:t>.</w:t>
      </w:r>
      <w:r w:rsidRPr="001E574C">
        <w:rPr>
          <w:lang w:val="en-US"/>
        </w:rPr>
        <w:t xml:space="preserve"> Project Financial Management and Governance in HEIs: England. </w:t>
      </w:r>
      <w:proofErr w:type="gramStart"/>
      <w:r w:rsidRPr="001E574C">
        <w:rPr>
          <w:lang w:val="en-US"/>
        </w:rPr>
        <w:t>(January).</w:t>
      </w:r>
      <w:proofErr w:type="gramEnd"/>
      <w:r w:rsidRPr="001E574C">
        <w:rPr>
          <w:lang w:val="en-US"/>
        </w:rPr>
        <w:t xml:space="preserve"> </w:t>
      </w:r>
    </w:p>
    <w:p w:rsidR="002573FB" w:rsidRPr="001E574C" w:rsidRDefault="00D87394" w:rsidP="001E574C">
      <w:pPr>
        <w:spacing w:after="120"/>
        <w:jc w:val="both"/>
        <w:rPr>
          <w:lang w:val="en-US"/>
        </w:rPr>
      </w:pPr>
      <w:proofErr w:type="spellStart"/>
      <w:r w:rsidRPr="001E574C">
        <w:rPr>
          <w:lang w:val="en-US"/>
        </w:rPr>
        <w:t>Shattock</w:t>
      </w:r>
      <w:proofErr w:type="spellEnd"/>
      <w:r w:rsidRPr="001E574C">
        <w:rPr>
          <w:lang w:val="en-US"/>
        </w:rPr>
        <w:t xml:space="preserve"> M. 2003. </w:t>
      </w:r>
      <w:proofErr w:type="gramStart"/>
      <w:r w:rsidRPr="001E574C">
        <w:rPr>
          <w:i/>
          <w:lang w:val="en-US"/>
        </w:rPr>
        <w:t>Managing Successful Universities</w:t>
      </w:r>
      <w:r w:rsidRPr="001E574C">
        <w:rPr>
          <w:lang w:val="en-US"/>
        </w:rPr>
        <w:t>.</w:t>
      </w:r>
      <w:proofErr w:type="gramEnd"/>
      <w:r w:rsidRPr="001E574C">
        <w:rPr>
          <w:lang w:val="en-US"/>
        </w:rPr>
        <w:t xml:space="preserve"> Maidenhead: SRHE and Open University Press. </w:t>
      </w:r>
    </w:p>
    <w:p w:rsidR="00D87394" w:rsidRPr="001E574C" w:rsidRDefault="00D87394" w:rsidP="001E574C">
      <w:pPr>
        <w:spacing w:after="120"/>
        <w:jc w:val="both"/>
        <w:rPr>
          <w:lang w:val="en-US"/>
        </w:rPr>
      </w:pPr>
      <w:r w:rsidRPr="001E574C">
        <w:rPr>
          <w:lang w:val="en-US"/>
        </w:rPr>
        <w:t>TUC [Trades Union Congress]. 2005. Press Release, [online] 22 February 2005. [</w:t>
      </w:r>
      <w:proofErr w:type="gramStart"/>
      <w:r w:rsidRPr="001E574C">
        <w:rPr>
          <w:lang w:val="en-US"/>
        </w:rPr>
        <w:t>accessed</w:t>
      </w:r>
      <w:proofErr w:type="gramEnd"/>
      <w:r w:rsidRPr="001E574C">
        <w:rPr>
          <w:lang w:val="en-US"/>
        </w:rPr>
        <w:t xml:space="preserve"> on: 2009-06-21], Available from Internet: http://www.tuc.org.uk/economy/tuc-9422-f0.cfm. </w:t>
      </w:r>
    </w:p>
    <w:p w:rsidR="00D87394" w:rsidRPr="001E574C" w:rsidRDefault="00D87394" w:rsidP="001E574C">
      <w:pPr>
        <w:spacing w:after="120"/>
        <w:jc w:val="both"/>
        <w:rPr>
          <w:lang w:val="en-US"/>
        </w:rPr>
      </w:pPr>
      <w:proofErr w:type="spellStart"/>
      <w:r w:rsidRPr="001E574C">
        <w:rPr>
          <w:lang w:val="en-US"/>
        </w:rPr>
        <w:t>Tysome</w:t>
      </w:r>
      <w:proofErr w:type="spellEnd"/>
      <w:r w:rsidRPr="001E574C">
        <w:rPr>
          <w:lang w:val="en-US"/>
        </w:rPr>
        <w:t xml:space="preserve"> T. 2007. </w:t>
      </w:r>
      <w:r w:rsidRPr="001E574C">
        <w:rPr>
          <w:i/>
          <w:lang w:val="en-US"/>
        </w:rPr>
        <w:t>Pay Spending Lags Behind</w:t>
      </w:r>
      <w:r w:rsidRPr="001E574C">
        <w:rPr>
          <w:lang w:val="en-US"/>
        </w:rPr>
        <w:t xml:space="preserve">. </w:t>
      </w:r>
      <w:r w:rsidR="001E574C">
        <w:rPr>
          <w:lang w:val="en-US"/>
        </w:rPr>
        <w:t>„</w:t>
      </w:r>
      <w:r w:rsidRPr="001E574C">
        <w:rPr>
          <w:lang w:val="en-US"/>
        </w:rPr>
        <w:t>The Times Higher Education</w:t>
      </w:r>
      <w:r w:rsidR="001E574C">
        <w:rPr>
          <w:lang w:val="en-US"/>
        </w:rPr>
        <w:t>”</w:t>
      </w:r>
      <w:r w:rsidRPr="001E574C">
        <w:rPr>
          <w:lang w:val="en-US"/>
        </w:rPr>
        <w:t xml:space="preserve"> September 21st. </w:t>
      </w:r>
    </w:p>
    <w:p w:rsidR="00D87394" w:rsidRPr="001E574C" w:rsidRDefault="00D87394" w:rsidP="001E574C">
      <w:pPr>
        <w:spacing w:after="120"/>
        <w:jc w:val="both"/>
        <w:rPr>
          <w:lang w:val="en-US"/>
        </w:rPr>
      </w:pPr>
      <w:proofErr w:type="gramStart"/>
      <w:r w:rsidRPr="001E574C">
        <w:rPr>
          <w:lang w:val="en-US"/>
        </w:rPr>
        <w:t>Universities UK.</w:t>
      </w:r>
      <w:proofErr w:type="gramEnd"/>
      <w:r w:rsidRPr="001E574C">
        <w:rPr>
          <w:lang w:val="en-US"/>
        </w:rPr>
        <w:t xml:space="preserve"> 2001. </w:t>
      </w:r>
      <w:r w:rsidRPr="001E574C">
        <w:rPr>
          <w:i/>
          <w:lang w:val="en-US"/>
        </w:rPr>
        <w:t>New Directions for Higher Education Funding</w:t>
      </w:r>
      <w:r w:rsidRPr="001E574C">
        <w:rPr>
          <w:lang w:val="en-US"/>
        </w:rPr>
        <w:t xml:space="preserve">. Funding options review group Final Report. London. </w:t>
      </w:r>
    </w:p>
    <w:p w:rsidR="00D87394" w:rsidRPr="001E574C" w:rsidRDefault="00D87394" w:rsidP="001E574C">
      <w:pPr>
        <w:spacing w:after="120"/>
        <w:jc w:val="both"/>
        <w:rPr>
          <w:lang w:val="en-US"/>
        </w:rPr>
      </w:pPr>
      <w:proofErr w:type="gramStart"/>
      <w:r w:rsidRPr="001E574C">
        <w:rPr>
          <w:lang w:val="en-US"/>
        </w:rPr>
        <w:t>Universities UK.</w:t>
      </w:r>
      <w:proofErr w:type="gramEnd"/>
      <w:r w:rsidRPr="001E574C">
        <w:rPr>
          <w:lang w:val="en-US"/>
        </w:rPr>
        <w:t xml:space="preserve"> 2006. </w:t>
      </w:r>
      <w:r w:rsidRPr="001E574C">
        <w:rPr>
          <w:i/>
          <w:lang w:val="en-US"/>
        </w:rPr>
        <w:t xml:space="preserve">Higher Education in Facts and Figures. </w:t>
      </w:r>
      <w:proofErr w:type="gramStart"/>
      <w:r w:rsidRPr="001E574C">
        <w:rPr>
          <w:i/>
          <w:lang w:val="en-US"/>
        </w:rPr>
        <w:t>International Perspectives</w:t>
      </w:r>
      <w:r w:rsidRPr="001E574C">
        <w:rPr>
          <w:lang w:val="en-US"/>
        </w:rPr>
        <w:t>.</w:t>
      </w:r>
      <w:proofErr w:type="gramEnd"/>
      <w:r w:rsidRPr="001E574C">
        <w:rPr>
          <w:lang w:val="en-US"/>
        </w:rPr>
        <w:t xml:space="preserve"> London. </w:t>
      </w:r>
      <w:proofErr w:type="gramStart"/>
      <w:r w:rsidRPr="001E574C">
        <w:rPr>
          <w:lang w:val="en-US"/>
        </w:rPr>
        <w:t>Universities UK.</w:t>
      </w:r>
      <w:proofErr w:type="gramEnd"/>
      <w:r w:rsidRPr="001E574C">
        <w:rPr>
          <w:lang w:val="en-US"/>
        </w:rPr>
        <w:t xml:space="preserve"> </w:t>
      </w:r>
      <w:proofErr w:type="gramStart"/>
      <w:r w:rsidRPr="001E574C">
        <w:rPr>
          <w:lang w:val="en-US"/>
        </w:rPr>
        <w:t xml:space="preserve">2007a. </w:t>
      </w:r>
      <w:r w:rsidRPr="001E574C">
        <w:rPr>
          <w:i/>
          <w:lang w:val="en-US"/>
        </w:rPr>
        <w:t>Higher Education in Facts and Figures</w:t>
      </w:r>
      <w:r w:rsidRPr="001E574C">
        <w:rPr>
          <w:lang w:val="en-US"/>
        </w:rPr>
        <w:t>.</w:t>
      </w:r>
      <w:proofErr w:type="gramEnd"/>
      <w:r w:rsidRPr="001E574C">
        <w:rPr>
          <w:lang w:val="en-US"/>
        </w:rPr>
        <w:t xml:space="preserve"> London. </w:t>
      </w:r>
    </w:p>
    <w:p w:rsidR="00D87394" w:rsidRPr="001E574C" w:rsidRDefault="00D87394" w:rsidP="001E574C">
      <w:pPr>
        <w:spacing w:after="120"/>
        <w:jc w:val="both"/>
        <w:rPr>
          <w:lang w:val="en-US"/>
        </w:rPr>
      </w:pPr>
      <w:proofErr w:type="gramStart"/>
      <w:r w:rsidRPr="001E574C">
        <w:rPr>
          <w:lang w:val="en-US"/>
        </w:rPr>
        <w:t>Universities UK.</w:t>
      </w:r>
      <w:proofErr w:type="gramEnd"/>
      <w:r w:rsidRPr="001E574C">
        <w:rPr>
          <w:lang w:val="en-US"/>
        </w:rPr>
        <w:t xml:space="preserve"> </w:t>
      </w:r>
      <w:proofErr w:type="gramStart"/>
      <w:r w:rsidRPr="001E574C">
        <w:rPr>
          <w:lang w:val="en-US"/>
        </w:rPr>
        <w:t xml:space="preserve">2007b. </w:t>
      </w:r>
      <w:r w:rsidRPr="001E574C">
        <w:rPr>
          <w:i/>
          <w:lang w:val="en-US"/>
        </w:rPr>
        <w:t>Higher Education in Facts and Figures.</w:t>
      </w:r>
      <w:proofErr w:type="gramEnd"/>
      <w:r w:rsidRPr="001E574C">
        <w:rPr>
          <w:i/>
          <w:lang w:val="en-US"/>
        </w:rPr>
        <w:t xml:space="preserve"> </w:t>
      </w:r>
      <w:proofErr w:type="gramStart"/>
      <w:r w:rsidRPr="001E574C">
        <w:rPr>
          <w:i/>
          <w:lang w:val="en-US"/>
        </w:rPr>
        <w:t>Research and Innovation</w:t>
      </w:r>
      <w:r w:rsidR="001E574C">
        <w:rPr>
          <w:lang w:val="en-US"/>
        </w:rPr>
        <w:t>.</w:t>
      </w:r>
      <w:proofErr w:type="gramEnd"/>
      <w:r w:rsidRPr="001E574C">
        <w:rPr>
          <w:lang w:val="en-US"/>
        </w:rPr>
        <w:t xml:space="preserve"> London. </w:t>
      </w:r>
    </w:p>
    <w:p w:rsidR="00D87394" w:rsidRPr="001E574C" w:rsidRDefault="00D87394" w:rsidP="001E574C">
      <w:pPr>
        <w:spacing w:after="120"/>
        <w:jc w:val="both"/>
        <w:rPr>
          <w:lang w:val="en-US"/>
        </w:rPr>
      </w:pPr>
      <w:proofErr w:type="gramStart"/>
      <w:r w:rsidRPr="001E574C">
        <w:rPr>
          <w:lang w:val="en-US"/>
        </w:rPr>
        <w:lastRenderedPageBreak/>
        <w:t>Universities UK.</w:t>
      </w:r>
      <w:proofErr w:type="gramEnd"/>
      <w:r w:rsidRPr="001E574C">
        <w:rPr>
          <w:lang w:val="en-US"/>
        </w:rPr>
        <w:t xml:space="preserve"> 2007c. </w:t>
      </w:r>
      <w:r w:rsidRPr="001E574C">
        <w:rPr>
          <w:i/>
          <w:lang w:val="en-US"/>
        </w:rPr>
        <w:t>Patterns of Higher Education Institutions in the UK</w:t>
      </w:r>
      <w:r w:rsidRPr="001E574C">
        <w:rPr>
          <w:lang w:val="en-US"/>
        </w:rPr>
        <w:t xml:space="preserve">: Seventh Report. </w:t>
      </w:r>
      <w:proofErr w:type="gramStart"/>
      <w:r w:rsidRPr="001E574C">
        <w:rPr>
          <w:lang w:val="en-US"/>
        </w:rPr>
        <w:t>London (September).</w:t>
      </w:r>
      <w:proofErr w:type="gramEnd"/>
      <w:r w:rsidRPr="001E574C">
        <w:rPr>
          <w:lang w:val="en-US"/>
        </w:rPr>
        <w:t xml:space="preserve"> </w:t>
      </w:r>
    </w:p>
    <w:p w:rsidR="00D87394" w:rsidRPr="001E574C" w:rsidRDefault="00D87394" w:rsidP="001E574C">
      <w:pPr>
        <w:spacing w:after="120"/>
        <w:jc w:val="both"/>
        <w:rPr>
          <w:lang w:val="en-US"/>
        </w:rPr>
      </w:pPr>
      <w:proofErr w:type="gramStart"/>
      <w:r w:rsidRPr="001E574C">
        <w:rPr>
          <w:lang w:val="en-US"/>
        </w:rPr>
        <w:t>URN.</w:t>
      </w:r>
      <w:proofErr w:type="gramEnd"/>
      <w:r w:rsidRPr="001E574C">
        <w:rPr>
          <w:lang w:val="en-US"/>
        </w:rPr>
        <w:t xml:space="preserve"> 2006. </w:t>
      </w:r>
      <w:r w:rsidRPr="001E574C">
        <w:rPr>
          <w:i/>
          <w:lang w:val="en-US"/>
        </w:rPr>
        <w:t>Report to UK Higher Education Funding bodies</w:t>
      </w:r>
      <w:r w:rsidRPr="001E574C">
        <w:rPr>
          <w:lang w:val="en-US"/>
        </w:rPr>
        <w:t xml:space="preserve">. </w:t>
      </w:r>
      <w:proofErr w:type="gramStart"/>
      <w:r w:rsidRPr="001E574C">
        <w:rPr>
          <w:lang w:val="en-US"/>
        </w:rPr>
        <w:t>Research Councils and OST.</w:t>
      </w:r>
      <w:proofErr w:type="gramEnd"/>
      <w:r w:rsidRPr="001E574C">
        <w:rPr>
          <w:lang w:val="en-US"/>
        </w:rPr>
        <w:t xml:space="preserve"> </w:t>
      </w:r>
      <w:proofErr w:type="gramStart"/>
      <w:r w:rsidRPr="001E574C">
        <w:rPr>
          <w:lang w:val="en-US"/>
        </w:rPr>
        <w:t>Quality Assurance and validation for Full Economic Costing, 06/1491.</w:t>
      </w:r>
      <w:proofErr w:type="gramEnd"/>
      <w:r w:rsidRPr="001E574C">
        <w:rPr>
          <w:lang w:val="en-US"/>
        </w:rPr>
        <w:t xml:space="preserve"> </w:t>
      </w:r>
    </w:p>
    <w:p w:rsidR="00D87394" w:rsidRPr="001E574C" w:rsidRDefault="00D87394" w:rsidP="001E574C">
      <w:pPr>
        <w:spacing w:after="120"/>
        <w:jc w:val="both"/>
        <w:rPr>
          <w:lang w:val="en-US"/>
        </w:rPr>
      </w:pPr>
      <w:proofErr w:type="spellStart"/>
      <w:r w:rsidRPr="001E574C">
        <w:rPr>
          <w:lang w:val="en-US"/>
        </w:rPr>
        <w:t>Vandenberghe</w:t>
      </w:r>
      <w:proofErr w:type="spellEnd"/>
      <w:r w:rsidRPr="001E574C">
        <w:rPr>
          <w:lang w:val="en-US"/>
        </w:rPr>
        <w:t xml:space="preserve"> V., </w:t>
      </w:r>
      <w:proofErr w:type="spellStart"/>
      <w:r w:rsidRPr="001E574C">
        <w:rPr>
          <w:lang w:val="en-US"/>
        </w:rPr>
        <w:t>Debande</w:t>
      </w:r>
      <w:proofErr w:type="spellEnd"/>
      <w:r w:rsidRPr="001E574C">
        <w:rPr>
          <w:lang w:val="en-US"/>
        </w:rPr>
        <w:t xml:space="preserve"> O. 2007. </w:t>
      </w:r>
      <w:proofErr w:type="gramStart"/>
      <w:r w:rsidRPr="001E574C">
        <w:rPr>
          <w:i/>
          <w:lang w:val="en-US"/>
        </w:rPr>
        <w:t>Refinancing Europe's Higher Education through Deferred and Income-Contingent Fees: An Empirical Assessment using</w:t>
      </w:r>
      <w:r w:rsidRPr="001E574C">
        <w:rPr>
          <w:lang w:val="en-US"/>
        </w:rPr>
        <w:t xml:space="preserve"> </w:t>
      </w:r>
      <w:r w:rsidRPr="001E574C">
        <w:rPr>
          <w:i/>
          <w:lang w:val="en-US"/>
        </w:rPr>
        <w:t>Belgian, German and UK</w:t>
      </w:r>
      <w:r w:rsidRPr="001E574C">
        <w:rPr>
          <w:lang w:val="en-US"/>
        </w:rPr>
        <w:t xml:space="preserve"> Data.</w:t>
      </w:r>
      <w:proofErr w:type="gramEnd"/>
      <w:r w:rsidRPr="001E574C">
        <w:rPr>
          <w:lang w:val="en-US"/>
        </w:rPr>
        <w:t xml:space="preserve"> London: Centre for Analysis of Social Exclusion (CASE); London School of Economics. </w:t>
      </w:r>
    </w:p>
    <w:p w:rsidR="00D87394" w:rsidRPr="001E574C" w:rsidRDefault="00D87394" w:rsidP="001E574C">
      <w:pPr>
        <w:spacing w:after="120"/>
        <w:jc w:val="both"/>
        <w:rPr>
          <w:lang w:val="en-US"/>
        </w:rPr>
      </w:pPr>
      <w:r w:rsidRPr="001E574C">
        <w:rPr>
          <w:lang w:val="en-US"/>
        </w:rPr>
        <w:t xml:space="preserve">Williams G. 1992. </w:t>
      </w:r>
      <w:proofErr w:type="gramStart"/>
      <w:r w:rsidRPr="001E574C">
        <w:rPr>
          <w:i/>
          <w:lang w:val="en-US"/>
        </w:rPr>
        <w:t>Changing Patterns of Finance in Higher Education</w:t>
      </w:r>
      <w:r w:rsidRPr="001E574C">
        <w:rPr>
          <w:lang w:val="en-US"/>
        </w:rPr>
        <w:t>.</w:t>
      </w:r>
      <w:proofErr w:type="gramEnd"/>
      <w:r w:rsidRPr="001E574C">
        <w:rPr>
          <w:lang w:val="en-US"/>
        </w:rPr>
        <w:t xml:space="preserve"> Buckingham: SRHE and Open University Press. </w:t>
      </w:r>
    </w:p>
    <w:p w:rsidR="00D87394" w:rsidRPr="001E574C" w:rsidRDefault="00D87394" w:rsidP="001E574C">
      <w:pPr>
        <w:spacing w:after="120"/>
        <w:jc w:val="both"/>
        <w:rPr>
          <w:lang w:val="en-US"/>
        </w:rPr>
      </w:pPr>
      <w:proofErr w:type="gramStart"/>
      <w:r w:rsidRPr="001E574C">
        <w:rPr>
          <w:lang w:val="en-US"/>
        </w:rPr>
        <w:t>MacLeod D. 2004.</w:t>
      </w:r>
      <w:proofErr w:type="gramEnd"/>
      <w:r w:rsidRPr="001E574C">
        <w:rPr>
          <w:lang w:val="en-US"/>
        </w:rPr>
        <w:t xml:space="preserve"> </w:t>
      </w:r>
      <w:r w:rsidRPr="001E574C">
        <w:rPr>
          <w:i/>
          <w:lang w:val="en-US"/>
        </w:rPr>
        <w:t>A Big Ask</w:t>
      </w:r>
      <w:r w:rsidRPr="001E574C">
        <w:rPr>
          <w:lang w:val="en-US"/>
        </w:rPr>
        <w:t>. [</w:t>
      </w:r>
      <w:proofErr w:type="gramStart"/>
      <w:r w:rsidRPr="001E574C">
        <w:rPr>
          <w:lang w:val="en-US"/>
        </w:rPr>
        <w:t>online</w:t>
      </w:r>
      <w:proofErr w:type="gramEnd"/>
      <w:r w:rsidRPr="001E574C">
        <w:rPr>
          <w:lang w:val="en-US"/>
        </w:rPr>
        <w:t>]. 5 October 2004</w:t>
      </w:r>
      <w:proofErr w:type="gramStart"/>
      <w:r w:rsidRPr="001E574C">
        <w:rPr>
          <w:lang w:val="en-US"/>
        </w:rPr>
        <w:t>.[</w:t>
      </w:r>
      <w:proofErr w:type="gramEnd"/>
      <w:r w:rsidRPr="001E574C">
        <w:rPr>
          <w:lang w:val="en-US"/>
        </w:rPr>
        <w:t>accessed on: 2009-06-21]. Available from Internet: http://education.guardian.co</w:t>
      </w:r>
      <w:r w:rsidR="001E574C">
        <w:rPr>
          <w:lang w:val="en-US"/>
        </w:rPr>
        <w:t>.Uk/universityiunding/story/0,,</w:t>
      </w:r>
      <w:bookmarkStart w:id="0" w:name="_GoBack"/>
      <w:bookmarkEnd w:id="0"/>
      <w:r w:rsidRPr="001E574C">
        <w:rPr>
          <w:lang w:val="en-US"/>
        </w:rPr>
        <w:t xml:space="preserve">1319536,00.html. </w:t>
      </w:r>
    </w:p>
    <w:p w:rsidR="00D87394" w:rsidRPr="001E574C" w:rsidRDefault="00D87394" w:rsidP="001E574C">
      <w:pPr>
        <w:spacing w:after="120"/>
        <w:jc w:val="both"/>
        <w:rPr>
          <w:lang w:val="en-US"/>
        </w:rPr>
      </w:pPr>
      <w:r w:rsidRPr="001E574C">
        <w:rPr>
          <w:lang w:val="en-US"/>
        </w:rPr>
        <w:t xml:space="preserve">West C. 2007. </w:t>
      </w:r>
      <w:r w:rsidRPr="001E574C">
        <w:rPr>
          <w:i/>
          <w:lang w:val="en-US"/>
        </w:rPr>
        <w:t>Comparative Library and ICT Statistics</w:t>
      </w:r>
      <w:r w:rsidRPr="001E574C">
        <w:rPr>
          <w:lang w:val="en-US"/>
        </w:rPr>
        <w:t>: 2005-06. [</w:t>
      </w:r>
      <w:proofErr w:type="gramStart"/>
      <w:r w:rsidRPr="001E574C">
        <w:rPr>
          <w:lang w:val="en-US"/>
        </w:rPr>
        <w:t>online</w:t>
      </w:r>
      <w:proofErr w:type="gramEnd"/>
      <w:r w:rsidRPr="001E574C">
        <w:rPr>
          <w:lang w:val="en-US"/>
        </w:rPr>
        <w:t xml:space="preserve">; accessed on: 2009-06-21]. </w:t>
      </w:r>
      <w:proofErr w:type="gramStart"/>
      <w:r w:rsidRPr="001E574C">
        <w:rPr>
          <w:lang w:val="en-US"/>
        </w:rPr>
        <w:t>Swansea University, Library &amp; Information Services.</w:t>
      </w:r>
      <w:proofErr w:type="gramEnd"/>
      <w:r w:rsidRPr="001E574C">
        <w:rPr>
          <w:lang w:val="en-US"/>
        </w:rPr>
        <w:t xml:space="preserve"> Available from Internet: http://www.swan. ac.uk/media/Media,8594,en.doc. </w:t>
      </w:r>
    </w:p>
    <w:p w:rsidR="00E5196C" w:rsidRPr="001E574C" w:rsidRDefault="00D87394" w:rsidP="001E574C">
      <w:pPr>
        <w:autoSpaceDE w:val="0"/>
        <w:autoSpaceDN w:val="0"/>
        <w:adjustRightInd w:val="0"/>
        <w:spacing w:after="120"/>
        <w:jc w:val="both"/>
        <w:rPr>
          <w:lang w:val="en-US"/>
        </w:rPr>
      </w:pPr>
      <w:proofErr w:type="gramStart"/>
      <w:r w:rsidRPr="001E574C">
        <w:rPr>
          <w:lang w:val="en-US"/>
        </w:rPr>
        <w:t>BBC.</w:t>
      </w:r>
      <w:proofErr w:type="gramEnd"/>
      <w:r w:rsidRPr="001E574C">
        <w:rPr>
          <w:lang w:val="en-US"/>
        </w:rPr>
        <w:t xml:space="preserve"> 2006. </w:t>
      </w:r>
      <w:r w:rsidRPr="001E574C">
        <w:rPr>
          <w:i/>
          <w:lang w:val="en-US"/>
        </w:rPr>
        <w:t>Academics reject 6% pay offer</w:t>
      </w:r>
      <w:r w:rsidRPr="001E574C">
        <w:rPr>
          <w:lang w:val="en-US"/>
        </w:rPr>
        <w:t>, [online]. 29 March 2006. [</w:t>
      </w:r>
      <w:proofErr w:type="gramStart"/>
      <w:r w:rsidRPr="001E574C">
        <w:rPr>
          <w:lang w:val="en-US"/>
        </w:rPr>
        <w:t>accessed</w:t>
      </w:r>
      <w:proofErr w:type="gramEnd"/>
      <w:r w:rsidRPr="001E574C">
        <w:rPr>
          <w:lang w:val="en-US"/>
        </w:rPr>
        <w:t xml:space="preserve"> on: 2009-06-21]. Available from Internet: http://news.bbc.co.Uk/2/hi/uk_news/education/4856374.stm.</w:t>
      </w:r>
    </w:p>
    <w:sectPr w:rsidR="00E5196C" w:rsidRPr="001E574C" w:rsidSect="00C87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D87394"/>
    <w:rsid w:val="0000744A"/>
    <w:rsid w:val="001E574C"/>
    <w:rsid w:val="002573FB"/>
    <w:rsid w:val="00D87394"/>
    <w:rsid w:val="00E51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7394"/>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link w:val="Nagwek3Znak"/>
    <w:uiPriority w:val="9"/>
    <w:qFormat/>
    <w:rsid w:val="00D87394"/>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87394"/>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3761">
      <w:bodyDiv w:val="1"/>
      <w:marLeft w:val="0"/>
      <w:marRight w:val="0"/>
      <w:marTop w:val="0"/>
      <w:marBottom w:val="0"/>
      <w:divBdr>
        <w:top w:val="none" w:sz="0" w:space="0" w:color="auto"/>
        <w:left w:val="none" w:sz="0" w:space="0" w:color="auto"/>
        <w:bottom w:val="none" w:sz="0" w:space="0" w:color="auto"/>
        <w:right w:val="none" w:sz="0" w:space="0" w:color="auto"/>
      </w:divBdr>
    </w:div>
    <w:div w:id="509107794">
      <w:bodyDiv w:val="1"/>
      <w:marLeft w:val="0"/>
      <w:marRight w:val="0"/>
      <w:marTop w:val="0"/>
      <w:marBottom w:val="0"/>
      <w:divBdr>
        <w:top w:val="none" w:sz="0" w:space="0" w:color="auto"/>
        <w:left w:val="none" w:sz="0" w:space="0" w:color="auto"/>
        <w:bottom w:val="none" w:sz="0" w:space="0" w:color="auto"/>
        <w:right w:val="none" w:sz="0" w:space="0" w:color="auto"/>
      </w:divBdr>
    </w:div>
    <w:div w:id="772553690">
      <w:bodyDiv w:val="1"/>
      <w:marLeft w:val="0"/>
      <w:marRight w:val="0"/>
      <w:marTop w:val="0"/>
      <w:marBottom w:val="0"/>
      <w:divBdr>
        <w:top w:val="none" w:sz="0" w:space="0" w:color="auto"/>
        <w:left w:val="none" w:sz="0" w:space="0" w:color="auto"/>
        <w:bottom w:val="none" w:sz="0" w:space="0" w:color="auto"/>
        <w:right w:val="none" w:sz="0" w:space="0" w:color="auto"/>
      </w:divBdr>
      <w:divsChild>
        <w:div w:id="755788622">
          <w:marLeft w:val="0"/>
          <w:marRight w:val="0"/>
          <w:marTop w:val="0"/>
          <w:marBottom w:val="0"/>
          <w:divBdr>
            <w:top w:val="none" w:sz="0" w:space="0" w:color="auto"/>
            <w:left w:val="none" w:sz="0" w:space="0" w:color="auto"/>
            <w:bottom w:val="none" w:sz="0" w:space="0" w:color="auto"/>
            <w:right w:val="none" w:sz="0" w:space="0" w:color="auto"/>
          </w:divBdr>
          <w:divsChild>
            <w:div w:id="153684906">
              <w:marLeft w:val="0"/>
              <w:marRight w:val="0"/>
              <w:marTop w:val="0"/>
              <w:marBottom w:val="0"/>
              <w:divBdr>
                <w:top w:val="none" w:sz="0" w:space="0" w:color="auto"/>
                <w:left w:val="none" w:sz="0" w:space="0" w:color="auto"/>
                <w:bottom w:val="none" w:sz="0" w:space="0" w:color="auto"/>
                <w:right w:val="none" w:sz="0" w:space="0" w:color="auto"/>
              </w:divBdr>
            </w:div>
            <w:div w:id="93476934">
              <w:marLeft w:val="0"/>
              <w:marRight w:val="0"/>
              <w:marTop w:val="0"/>
              <w:marBottom w:val="0"/>
              <w:divBdr>
                <w:top w:val="none" w:sz="0" w:space="0" w:color="auto"/>
                <w:left w:val="none" w:sz="0" w:space="0" w:color="auto"/>
                <w:bottom w:val="none" w:sz="0" w:space="0" w:color="auto"/>
                <w:right w:val="none" w:sz="0" w:space="0" w:color="auto"/>
              </w:divBdr>
            </w:div>
            <w:div w:id="107631487">
              <w:marLeft w:val="0"/>
              <w:marRight w:val="0"/>
              <w:marTop w:val="0"/>
              <w:marBottom w:val="0"/>
              <w:divBdr>
                <w:top w:val="none" w:sz="0" w:space="0" w:color="auto"/>
                <w:left w:val="none" w:sz="0" w:space="0" w:color="auto"/>
                <w:bottom w:val="none" w:sz="0" w:space="0" w:color="auto"/>
                <w:right w:val="none" w:sz="0" w:space="0" w:color="auto"/>
              </w:divBdr>
            </w:div>
            <w:div w:id="1135870370">
              <w:marLeft w:val="0"/>
              <w:marRight w:val="0"/>
              <w:marTop w:val="0"/>
              <w:marBottom w:val="0"/>
              <w:divBdr>
                <w:top w:val="none" w:sz="0" w:space="0" w:color="auto"/>
                <w:left w:val="none" w:sz="0" w:space="0" w:color="auto"/>
                <w:bottom w:val="none" w:sz="0" w:space="0" w:color="auto"/>
                <w:right w:val="none" w:sz="0" w:space="0" w:color="auto"/>
              </w:divBdr>
            </w:div>
            <w:div w:id="824706883">
              <w:marLeft w:val="0"/>
              <w:marRight w:val="0"/>
              <w:marTop w:val="0"/>
              <w:marBottom w:val="0"/>
              <w:divBdr>
                <w:top w:val="none" w:sz="0" w:space="0" w:color="auto"/>
                <w:left w:val="none" w:sz="0" w:space="0" w:color="auto"/>
                <w:bottom w:val="none" w:sz="0" w:space="0" w:color="auto"/>
                <w:right w:val="none" w:sz="0" w:space="0" w:color="auto"/>
              </w:divBdr>
            </w:div>
            <w:div w:id="519123558">
              <w:marLeft w:val="0"/>
              <w:marRight w:val="0"/>
              <w:marTop w:val="0"/>
              <w:marBottom w:val="0"/>
              <w:divBdr>
                <w:top w:val="none" w:sz="0" w:space="0" w:color="auto"/>
                <w:left w:val="none" w:sz="0" w:space="0" w:color="auto"/>
                <w:bottom w:val="none" w:sz="0" w:space="0" w:color="auto"/>
                <w:right w:val="none" w:sz="0" w:space="0" w:color="auto"/>
              </w:divBdr>
            </w:div>
            <w:div w:id="2017732947">
              <w:marLeft w:val="0"/>
              <w:marRight w:val="0"/>
              <w:marTop w:val="0"/>
              <w:marBottom w:val="0"/>
              <w:divBdr>
                <w:top w:val="none" w:sz="0" w:space="0" w:color="auto"/>
                <w:left w:val="none" w:sz="0" w:space="0" w:color="auto"/>
                <w:bottom w:val="none" w:sz="0" w:space="0" w:color="auto"/>
                <w:right w:val="none" w:sz="0" w:space="0" w:color="auto"/>
              </w:divBdr>
            </w:div>
            <w:div w:id="1535000780">
              <w:marLeft w:val="0"/>
              <w:marRight w:val="0"/>
              <w:marTop w:val="0"/>
              <w:marBottom w:val="0"/>
              <w:divBdr>
                <w:top w:val="none" w:sz="0" w:space="0" w:color="auto"/>
                <w:left w:val="none" w:sz="0" w:space="0" w:color="auto"/>
                <w:bottom w:val="none" w:sz="0" w:space="0" w:color="auto"/>
                <w:right w:val="none" w:sz="0" w:space="0" w:color="auto"/>
              </w:divBdr>
            </w:div>
            <w:div w:id="1803501359">
              <w:marLeft w:val="0"/>
              <w:marRight w:val="0"/>
              <w:marTop w:val="0"/>
              <w:marBottom w:val="0"/>
              <w:divBdr>
                <w:top w:val="none" w:sz="0" w:space="0" w:color="auto"/>
                <w:left w:val="none" w:sz="0" w:space="0" w:color="auto"/>
                <w:bottom w:val="none" w:sz="0" w:space="0" w:color="auto"/>
                <w:right w:val="none" w:sz="0" w:space="0" w:color="auto"/>
              </w:divBdr>
            </w:div>
            <w:div w:id="405761336">
              <w:marLeft w:val="0"/>
              <w:marRight w:val="0"/>
              <w:marTop w:val="0"/>
              <w:marBottom w:val="0"/>
              <w:divBdr>
                <w:top w:val="none" w:sz="0" w:space="0" w:color="auto"/>
                <w:left w:val="none" w:sz="0" w:space="0" w:color="auto"/>
                <w:bottom w:val="none" w:sz="0" w:space="0" w:color="auto"/>
                <w:right w:val="none" w:sz="0" w:space="0" w:color="auto"/>
              </w:divBdr>
            </w:div>
            <w:div w:id="552038486">
              <w:marLeft w:val="0"/>
              <w:marRight w:val="0"/>
              <w:marTop w:val="0"/>
              <w:marBottom w:val="0"/>
              <w:divBdr>
                <w:top w:val="none" w:sz="0" w:space="0" w:color="auto"/>
                <w:left w:val="none" w:sz="0" w:space="0" w:color="auto"/>
                <w:bottom w:val="none" w:sz="0" w:space="0" w:color="auto"/>
                <w:right w:val="none" w:sz="0" w:space="0" w:color="auto"/>
              </w:divBdr>
            </w:div>
            <w:div w:id="83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1326">
      <w:bodyDiv w:val="1"/>
      <w:marLeft w:val="0"/>
      <w:marRight w:val="0"/>
      <w:marTop w:val="0"/>
      <w:marBottom w:val="0"/>
      <w:divBdr>
        <w:top w:val="none" w:sz="0" w:space="0" w:color="auto"/>
        <w:left w:val="none" w:sz="0" w:space="0" w:color="auto"/>
        <w:bottom w:val="none" w:sz="0" w:space="0" w:color="auto"/>
        <w:right w:val="none" w:sz="0" w:space="0" w:color="auto"/>
      </w:divBdr>
      <w:divsChild>
        <w:div w:id="485247870">
          <w:marLeft w:val="0"/>
          <w:marRight w:val="0"/>
          <w:marTop w:val="0"/>
          <w:marBottom w:val="0"/>
          <w:divBdr>
            <w:top w:val="none" w:sz="0" w:space="0" w:color="auto"/>
            <w:left w:val="none" w:sz="0" w:space="0" w:color="auto"/>
            <w:bottom w:val="none" w:sz="0" w:space="0" w:color="auto"/>
            <w:right w:val="none" w:sz="0" w:space="0" w:color="auto"/>
          </w:divBdr>
          <w:divsChild>
            <w:div w:id="1554847715">
              <w:marLeft w:val="0"/>
              <w:marRight w:val="0"/>
              <w:marTop w:val="0"/>
              <w:marBottom w:val="0"/>
              <w:divBdr>
                <w:top w:val="none" w:sz="0" w:space="0" w:color="auto"/>
                <w:left w:val="none" w:sz="0" w:space="0" w:color="auto"/>
                <w:bottom w:val="none" w:sz="0" w:space="0" w:color="auto"/>
                <w:right w:val="none" w:sz="0" w:space="0" w:color="auto"/>
              </w:divBdr>
            </w:div>
            <w:div w:id="2053840164">
              <w:marLeft w:val="0"/>
              <w:marRight w:val="0"/>
              <w:marTop w:val="0"/>
              <w:marBottom w:val="0"/>
              <w:divBdr>
                <w:top w:val="none" w:sz="0" w:space="0" w:color="auto"/>
                <w:left w:val="none" w:sz="0" w:space="0" w:color="auto"/>
                <w:bottom w:val="none" w:sz="0" w:space="0" w:color="auto"/>
                <w:right w:val="none" w:sz="0" w:space="0" w:color="auto"/>
              </w:divBdr>
            </w:div>
            <w:div w:id="2058158347">
              <w:marLeft w:val="0"/>
              <w:marRight w:val="0"/>
              <w:marTop w:val="0"/>
              <w:marBottom w:val="0"/>
              <w:divBdr>
                <w:top w:val="none" w:sz="0" w:space="0" w:color="auto"/>
                <w:left w:val="none" w:sz="0" w:space="0" w:color="auto"/>
                <w:bottom w:val="none" w:sz="0" w:space="0" w:color="auto"/>
                <w:right w:val="none" w:sz="0" w:space="0" w:color="auto"/>
              </w:divBdr>
            </w:div>
            <w:div w:id="436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4661">
      <w:bodyDiv w:val="1"/>
      <w:marLeft w:val="0"/>
      <w:marRight w:val="0"/>
      <w:marTop w:val="0"/>
      <w:marBottom w:val="0"/>
      <w:divBdr>
        <w:top w:val="none" w:sz="0" w:space="0" w:color="auto"/>
        <w:left w:val="none" w:sz="0" w:space="0" w:color="auto"/>
        <w:bottom w:val="none" w:sz="0" w:space="0" w:color="auto"/>
        <w:right w:val="none" w:sz="0" w:space="0" w:color="auto"/>
      </w:divBdr>
      <w:divsChild>
        <w:div w:id="463501343">
          <w:marLeft w:val="0"/>
          <w:marRight w:val="0"/>
          <w:marTop w:val="0"/>
          <w:marBottom w:val="0"/>
          <w:divBdr>
            <w:top w:val="none" w:sz="0" w:space="0" w:color="auto"/>
            <w:left w:val="none" w:sz="0" w:space="0" w:color="auto"/>
            <w:bottom w:val="none" w:sz="0" w:space="0" w:color="auto"/>
            <w:right w:val="none" w:sz="0" w:space="0" w:color="auto"/>
          </w:divBdr>
        </w:div>
        <w:div w:id="1449395709">
          <w:marLeft w:val="0"/>
          <w:marRight w:val="0"/>
          <w:marTop w:val="0"/>
          <w:marBottom w:val="0"/>
          <w:divBdr>
            <w:top w:val="none" w:sz="0" w:space="0" w:color="auto"/>
            <w:left w:val="none" w:sz="0" w:space="0" w:color="auto"/>
            <w:bottom w:val="none" w:sz="0" w:space="0" w:color="auto"/>
            <w:right w:val="none" w:sz="0" w:space="0" w:color="auto"/>
          </w:divBdr>
        </w:div>
      </w:divsChild>
    </w:div>
    <w:div w:id="2121365810">
      <w:bodyDiv w:val="1"/>
      <w:marLeft w:val="0"/>
      <w:marRight w:val="0"/>
      <w:marTop w:val="0"/>
      <w:marBottom w:val="0"/>
      <w:divBdr>
        <w:top w:val="none" w:sz="0" w:space="0" w:color="auto"/>
        <w:left w:val="none" w:sz="0" w:space="0" w:color="auto"/>
        <w:bottom w:val="none" w:sz="0" w:space="0" w:color="auto"/>
        <w:right w:val="none" w:sz="0" w:space="0" w:color="auto"/>
      </w:divBdr>
      <w:divsChild>
        <w:div w:id="662003423">
          <w:marLeft w:val="0"/>
          <w:marRight w:val="0"/>
          <w:marTop w:val="0"/>
          <w:marBottom w:val="0"/>
          <w:divBdr>
            <w:top w:val="none" w:sz="0" w:space="0" w:color="auto"/>
            <w:left w:val="none" w:sz="0" w:space="0" w:color="auto"/>
            <w:bottom w:val="none" w:sz="0" w:space="0" w:color="auto"/>
            <w:right w:val="none" w:sz="0" w:space="0" w:color="auto"/>
          </w:divBdr>
        </w:div>
        <w:div w:id="736589112">
          <w:marLeft w:val="0"/>
          <w:marRight w:val="0"/>
          <w:marTop w:val="0"/>
          <w:marBottom w:val="0"/>
          <w:divBdr>
            <w:top w:val="none" w:sz="0" w:space="0" w:color="auto"/>
            <w:left w:val="none" w:sz="0" w:space="0" w:color="auto"/>
            <w:bottom w:val="none" w:sz="0" w:space="0" w:color="auto"/>
            <w:right w:val="none" w:sz="0" w:space="0" w:color="auto"/>
          </w:divBdr>
        </w:div>
        <w:div w:id="529606011">
          <w:marLeft w:val="0"/>
          <w:marRight w:val="0"/>
          <w:marTop w:val="0"/>
          <w:marBottom w:val="0"/>
          <w:divBdr>
            <w:top w:val="none" w:sz="0" w:space="0" w:color="auto"/>
            <w:left w:val="none" w:sz="0" w:space="0" w:color="auto"/>
            <w:bottom w:val="none" w:sz="0" w:space="0" w:color="auto"/>
            <w:right w:val="none" w:sz="0" w:space="0" w:color="auto"/>
          </w:divBdr>
        </w:div>
      </w:divsChild>
    </w:div>
    <w:div w:id="2124153033">
      <w:bodyDiv w:val="1"/>
      <w:marLeft w:val="0"/>
      <w:marRight w:val="0"/>
      <w:marTop w:val="0"/>
      <w:marBottom w:val="0"/>
      <w:divBdr>
        <w:top w:val="none" w:sz="0" w:space="0" w:color="auto"/>
        <w:left w:val="none" w:sz="0" w:space="0" w:color="auto"/>
        <w:bottom w:val="none" w:sz="0" w:space="0" w:color="auto"/>
        <w:right w:val="none" w:sz="0" w:space="0" w:color="auto"/>
      </w:divBdr>
      <w:divsChild>
        <w:div w:id="27737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860</Words>
  <Characters>5161</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Lada1</dc:creator>
  <cp:lastModifiedBy>Lidia Matuszewska</cp:lastModifiedBy>
  <cp:revision>2</cp:revision>
  <dcterms:created xsi:type="dcterms:W3CDTF">2014-03-20T12:03:00Z</dcterms:created>
  <dcterms:modified xsi:type="dcterms:W3CDTF">2014-04-07T12:10:00Z</dcterms:modified>
</cp:coreProperties>
</file>